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sz w:val="30"/>
        </w:rPr>
        <w:t>ПУБЛИЧНАЯ ОФЕРТА НА ОКАЗАНИЕ УСЛУГ</w:t>
      </w:r>
    </w:p>
    <w:p>
      <w:pPr>
        <w:jc w:val="center"/>
      </w:pPr>
      <w:r>
        <w:rPr>
          <w:b/>
          <w:sz w:val="24"/>
        </w:rPr>
        <w:t>Tech-Expert.Moscow</w:t>
      </w:r>
    </w:p>
    <w:p>
      <w:pPr>
        <w:jc w:val="center"/>
      </w:pPr>
      <w:r>
        <w:rPr>
          <w:i/>
        </w:rPr>
        <w:t>Редакция № 4 от 11 сентября 2026 года</w:t>
        <w:br/>
        <w:t>Дата вступления в силу: 11 сентября 2026 года</w:t>
      </w:r>
    </w:p>
    <w:p>
      <w:r>
        <w:rPr>
          <w:b/>
        </w:rPr>
        <w:t xml:space="preserve">Важно: </w:t>
      </w:r>
      <w:r>
        <w:t>К конкретному заказу применяется редакция Оферты, указанная в Счёте-заказе. Индивидуальные условия Счёта-заказа имеют приоритет в пределах, допускаемых законом.</w:t>
      </w:r>
    </w:p>
    <w:p>
      <w:pPr>
        <w:jc w:val="both"/>
      </w:pPr>
      <w:r>
        <w:t>Индивидуальный предприниматель Свирин Андрей Викторович, ИНН 772872317733, ОГРНИП 322774600176722, далее «Исполнитель», предлагает физическим лицам, индивидуальным предпринимателям и юридическим лицам, далее «Заказчик», заключить договор возмездного оказания услуг по проведению технических, компьютерно-технических и IT-исследований объектов, цифровых данных и материалов, подготовке заключений специалиста, в том числе по результатам рецензирования заключений экспертов, и иных согласованных результатов. Оферта размещена по адресу: https://tech-expert.moscow/legal/public-offer/.</w:t>
      </w:r>
    </w:p>
    <w:p>
      <w:pPr>
        <w:pStyle w:val="Heading1"/>
        <w:keepNext/>
      </w:pPr>
      <w:r>
        <w:t>1. Термины и статус документа</w:t>
      </w:r>
    </w:p>
    <w:p>
      <w:pPr>
        <w:jc w:val="both"/>
      </w:pPr>
      <w:r>
        <w:rPr>
          <w:b/>
        </w:rPr>
        <w:t xml:space="preserve">1.1. </w:t>
      </w:r>
      <w:r>
        <w:t>Оферта — настоящий документ, содержащий общие условия договора и адресованный неопределенному кругу лиц в смысле пункта 2 статьи 437 Гражданского кодекса Российской Федерации.</w:t>
      </w:r>
    </w:p>
    <w:p>
      <w:pPr>
        <w:jc w:val="both"/>
      </w:pPr>
      <w:r>
        <w:rPr>
          <w:b/>
        </w:rPr>
        <w:t xml:space="preserve">1.2. </w:t>
      </w:r>
      <w:r>
        <w:t>Заявка — обращение Заказчика через сайт, электронную почту, мессенджер, телефон либо иным способом с описанием материала, задачи и предполагаемых вопросов. Заявка сама по себе не является акцептом Оферты и не обязывает Исполнителя принять исследование.</w:t>
      </w:r>
    </w:p>
    <w:p>
      <w:pPr>
        <w:jc w:val="both"/>
      </w:pPr>
      <w:r>
        <w:rPr>
          <w:b/>
        </w:rPr>
        <w:t xml:space="preserve">1.3. </w:t>
      </w:r>
      <w:r>
        <w:t>Счёт-заказ — сформированный Исполнителем документ или электронное сообщение, в котором определены конкретные условия исследования: вид исследования, материалы, вопросы, цена, срок, формат результата и иные особенности. Счёт-заказ является частью договора после акцепта Оферты.</w:t>
      </w:r>
    </w:p>
    <w:p>
      <w:pPr>
        <w:jc w:val="both"/>
      </w:pPr>
      <w:r>
        <w:rPr>
          <w:b/>
        </w:rPr>
        <w:t xml:space="preserve">1.4. </w:t>
      </w:r>
      <w:r>
        <w:t>Услуги — проведение договорного внесудебного технического, компьютерно-технического или IT-исследования в пределах специальных знаний, подготовка письменного Заключения специалиста, в том числе по результатам рецензирования заключения эксперта, а также иные действия, прямо перечисленные в Счёте-заказе.</w:t>
      </w:r>
    </w:p>
    <w:p>
      <w:pPr>
        <w:jc w:val="both"/>
      </w:pPr>
      <w:r>
        <w:rPr>
          <w:b/>
        </w:rPr>
        <w:t xml:space="preserve">1.5. </w:t>
      </w:r>
      <w:r>
        <w:t>Заключение специалиста — письменный результат договорного исследования, содержащий ход исследования, профессиональные суждения и выводы в пределах компетенции специалиста.</w:t>
      </w:r>
    </w:p>
    <w:p>
      <w:pPr>
        <w:jc w:val="both"/>
      </w:pPr>
      <w:r>
        <w:rPr>
          <w:b/>
        </w:rPr>
        <w:t xml:space="preserve">1.6. </w:t>
      </w:r>
      <w:r>
        <w:t>Объект исследования — компьютер, ноутбук, сервер, накопитель, электронное устройство, программное обеспечение, сайт, мобильное приложение, база данных, исходный код, журнал событий, электронная переписка, цифровой документ, файл, метаданные, заключение эксперта, процессуальный или технический документ, цифровые данные либо иной технический или электронный объект, указанный в Счёте-заказе.</w:t>
      </w:r>
    </w:p>
    <w:p>
      <w:pPr>
        <w:jc w:val="both"/>
      </w:pPr>
      <w:r>
        <w:rPr>
          <w:b/>
        </w:rPr>
        <w:t xml:space="preserve">1.7. </w:t>
      </w:r>
      <w:r>
        <w:t>Материалы — документы, копии материалов дела, техническая документация, договоры, ТЗ и ЧТЗ, акты, изображения, скриншоты, выгрузки, журналы событий (логи), файлы, исходный код, ссылки, резервные копии, сведения о конфигурации и иные данные, предоставленные для проведения исследования Заказчиком, его представителем, адвокатом (защитником) либо иным лицом, законно располагающим соответствующими материалами.</w:t>
      </w:r>
    </w:p>
    <w:p>
      <w:pPr>
        <w:jc w:val="both"/>
      </w:pPr>
      <w:r>
        <w:rPr>
          <w:b/>
        </w:rPr>
        <w:t xml:space="preserve">1.8. </w:t>
      </w:r>
      <w:r>
        <w:t>Заказчик — физическое лицо, индивидуальный предприниматель или юридическое лицо, заключившее договор с Исполнителем путём акцепта настоящей Оферты. Заказчиком может выступать в том числе родственник или иное лицо, заказывающее исследование в интересах другого лица, если это не противоречит закону и характеру предоставленных материалов.</w:t>
      </w:r>
    </w:p>
    <w:p>
      <w:pPr>
        <w:jc w:val="both"/>
      </w:pPr>
      <w:r>
        <w:rPr>
          <w:b/>
        </w:rPr>
        <w:t xml:space="preserve">1.9. </w:t>
      </w:r>
      <w:r>
        <w:t>Плательщик — Заказчик либо третье лицо, которое по поручению или в интересах Заказчика вносит оплату за конкретный Счёт-заказ. Оплата третьим лицом не предоставляет ему права требовать заранее определённого вывода и сама по себе не делает его получателем Заключения, если иное не указано Заказчиком.</w:t>
      </w:r>
    </w:p>
    <w:p>
      <w:pPr>
        <w:jc w:val="both"/>
      </w:pPr>
      <w:r>
        <w:rPr>
          <w:b/>
        </w:rPr>
        <w:t xml:space="preserve">1.10. </w:t>
      </w:r>
      <w:r>
        <w:t>Представитель/защитник — адвокат, защитник, представитель Заказчика или иное уполномоченное лицо, которое может по поручению Заказчика передавать материалы, формулировать вопросы в пределах поручения и получать результат, если такие полномочия подтверждены сообщением Заказчика, доверенностью, ордером либо иным допустимым способом.</w:t>
      </w:r>
    </w:p>
    <w:p>
      <w:pPr>
        <w:pStyle w:val="Heading1"/>
        <w:keepNext/>
      </w:pPr>
      <w:r>
        <w:t>2. Заключение договора и акцепт</w:t>
      </w:r>
    </w:p>
    <w:p>
      <w:pPr>
        <w:jc w:val="both"/>
      </w:pPr>
      <w:r>
        <w:rPr>
          <w:b/>
        </w:rPr>
        <w:t xml:space="preserve">2.1. </w:t>
      </w:r>
      <w:r>
        <w:t>Перед формированием Счета-заказа Исполнитель вправе оценить достаточность материалов, соответствие задания своей компетенции, отсутствие конфликта интересов, возможность соблюдения срока и наличие необходимых условий. До акцепта Исполнитель вправе без объяснения мотивов не формировать Счет-заказ.</w:t>
      </w:r>
    </w:p>
    <w:p>
      <w:pPr>
        <w:jc w:val="both"/>
      </w:pPr>
      <w:r>
        <w:rPr>
          <w:b/>
        </w:rPr>
        <w:t xml:space="preserve">2.2. </w:t>
      </w:r>
      <w:r>
        <w:t>Полным и безоговорочным акцептом Оферты является полная либо прямо предусмотренная Счётом-заказом частичная оплата стоимости услуг Заказчиком либо третьим лицом за Заказчика с указанием, позволяющим идентифицировать конкретный заказ. Размер платежа, являющегося акцептом, определяется в Счёте-заказе. При использовании онлайн-оплаты Заказчик также подтверждает согласие с Офертой и индивидуальными условиями Счёта-заказа.</w:t>
      </w:r>
    </w:p>
    <w:p>
      <w:pPr>
        <w:jc w:val="both"/>
      </w:pPr>
      <w:r>
        <w:rPr>
          <w:b/>
        </w:rPr>
        <w:t xml:space="preserve">2.3. </w:t>
      </w:r>
      <w:r>
        <w:t>Договор считается заключенным с момента поступления платежа, являющегося акцептом Оферты, на счет Исполнителя либо подтверждения такого платежа оператором платежа. Письменная форма договора считается соблюденной.</w:t>
      </w:r>
    </w:p>
    <w:p>
      <w:pPr>
        <w:jc w:val="both"/>
      </w:pPr>
      <w:r>
        <w:rPr>
          <w:b/>
        </w:rPr>
        <w:t xml:space="preserve">2.4. </w:t>
      </w:r>
      <w:r>
        <w:t>Договор состоит из Оферты, акцептованного Счета-заказа, Заявки и согласованных Сторонами электронных сообщений. Отдельное подписание бумажного договора или индивидуального задания не требуется.</w:t>
      </w:r>
    </w:p>
    <w:p>
      <w:pPr>
        <w:jc w:val="both"/>
      </w:pPr>
      <w:r>
        <w:rPr>
          <w:b/>
        </w:rPr>
        <w:t xml:space="preserve">2.5. </w:t>
      </w:r>
      <w:r>
        <w:t>Счет-заказ является неотъемлемой частью заключенного договора и содержит индивидуальные условия конкретного заказа, включая вид исследования, объект, вопросы, материалы, стоимость, порядок оплаты, срок и иные согласованные особенности оказания услуг. При расхождении между общими условиями Оферты и конкретными условиями Счета-заказа применяются условия Счета-заказа, если они не противоречат обязательным требованиям законодательства Российской Федерации и не ограничивают права Заказчика, предоставленные такими требованиями.</w:t>
      </w:r>
    </w:p>
    <w:p>
      <w:pPr>
        <w:jc w:val="both"/>
      </w:pPr>
      <w:r>
        <w:rPr>
          <w:b/>
        </w:rPr>
        <w:t xml:space="preserve">2.6. </w:t>
      </w:r>
      <w:r>
        <w:t>Исполнитель вправе вносить изменения и дополнения в настоящую Оферту путем опубликования ее новой редакции по адресу, указанному в настоящей Оферте. Новая редакция применяется только к договорам, акцепт которых совершен после даты ее опубликования, и не изменяет условия ранее заключенных договоров. Отдельное уведомление лиц, не совершивших акцепт, о публикации новой редакции не требуется. К ранее заключенному договору применяется редакция Оферты, указанная в соответствующем Счете-заказе. Изменение условий уже заключенного договора допускается по письменному соглашению Сторон, в том числе посредством дополнительного соглашения, нового Счета-заказа либо обмена электронными сообщениями, позволяющими достоверно установить волеизъявление Сторон. Исполнитель вправе без отдельного уведомления исправлять в опубликованном тексте очевидные опечатки, технические ошибки и неточности, если такие исправления не изменяют предмет, стоимость, сроки, порядок оплаты, объем обязанностей Сторон и иные условия ранее заключенных договоров. Исполнитель хранит архив редакций Оферты и сведения о периодах их действия.</w:t>
      </w:r>
    </w:p>
    <w:p>
      <w:pPr>
        <w:pStyle w:val="Heading1"/>
        <w:keepNext/>
      </w:pPr>
      <w:r>
        <w:t>3. Предмет и пределы услуг</w:t>
      </w:r>
    </w:p>
    <w:p>
      <w:pPr>
        <w:jc w:val="both"/>
      </w:pPr>
      <w:r>
        <w:rPr>
          <w:b/>
        </w:rPr>
        <w:t xml:space="preserve">3.1. </w:t>
      </w:r>
      <w:r>
        <w:t>Исполнитель обязуется провести согласованное договорное исследование, подготовить Заключение специалиста или иной предусмотренный Счётом-заказом результат и передать его Заказчику либо указанному им представителю; Заказчик обязуется предоставить необходимые материалы, принять и оплатить услуги.</w:t>
      </w:r>
    </w:p>
    <w:p>
      <w:pPr>
        <w:jc w:val="both"/>
      </w:pPr>
      <w:r>
        <w:rPr>
          <w:b/>
        </w:rPr>
        <w:t xml:space="preserve">3.2. </w:t>
      </w:r>
      <w:r>
        <w:t>Вид исследования, перечень материалов, вопросы, формат результата, стоимость, срок и специальные условия определяются в Счёте-заказе.</w:t>
      </w:r>
    </w:p>
    <w:p>
      <w:pPr>
        <w:jc w:val="both"/>
      </w:pPr>
      <w:r>
        <w:rPr>
          <w:b/>
        </w:rPr>
        <w:t xml:space="preserve">3.3. </w:t>
      </w:r>
      <w:r>
        <w:t>Исполнитель исследует только согласованные материалы и вопросы. Дополнительные материалы, новые вопросы, существенное изменение задания или подготовка дополнений являются дополнительными услугами, если иное письменно не согласовано.</w:t>
      </w:r>
    </w:p>
    <w:p>
      <w:pPr>
        <w:jc w:val="both"/>
      </w:pPr>
      <w:r>
        <w:rPr>
          <w:b/>
        </w:rPr>
        <w:t xml:space="preserve">3.4. </w:t>
      </w:r>
      <w:r>
        <w:t>Заключение специалиста, в том числе подготовленное по результатам рецензирования заключения эксперта, может передаваться адвокату (защитнику), представляться стороной защиты или иным участником в суд, следственный орган, государственный орган, организацию либо иному адресату. Исполнитель не гарантирует приобщение документа, его принятие или определённую оценку судом либо иным лицом.</w:t>
      </w:r>
    </w:p>
    <w:p>
      <w:pPr>
        <w:jc w:val="both"/>
      </w:pPr>
      <w:r>
        <w:rPr>
          <w:b/>
        </w:rPr>
        <w:t xml:space="preserve">3.5. </w:t>
      </w:r>
      <w:r>
        <w:t>Услуга по настоящей Оферте не включает юридическое представительство и не означает автоматического назначения судебной экспертизы процессуальным актом. Если исследование назначается судом, следователем или иным уполномоченным органом, процессуальный порядок определяется соответствующим законодательством и документом о назначении.</w:t>
      </w:r>
    </w:p>
    <w:p>
      <w:pPr>
        <w:pStyle w:val="Heading1"/>
        <w:keepNext/>
      </w:pPr>
      <w:r>
        <w:t>4. Независимость и качество исследования</w:t>
      </w:r>
    </w:p>
    <w:p>
      <w:pPr>
        <w:jc w:val="both"/>
      </w:pPr>
      <w:r>
        <w:rPr>
          <w:b/>
        </w:rPr>
        <w:t xml:space="preserve">4.1. </w:t>
      </w:r>
      <w:r>
        <w:t>Исполнитель, подписывающий Заключение, сохраняет независимость, не имеет имущественной либо иной заинтересованности в заранее определенном результате и формулирует выводы на основании специальных знаний, исследованных материалов и примененных методов.</w:t>
      </w:r>
    </w:p>
    <w:p>
      <w:pPr>
        <w:jc w:val="both"/>
      </w:pPr>
      <w:r>
        <w:rPr>
          <w:b/>
        </w:rPr>
        <w:t xml:space="preserve">4.2. </w:t>
      </w:r>
      <w:r>
        <w:t>Заказчик не вправе оказывать давление, требовать исключения неблагоприятных сведений, выбора метода вопреки профессиональному мнению специалиста либо заранее определенного вывода.</w:t>
      </w:r>
    </w:p>
    <w:p>
      <w:pPr>
        <w:jc w:val="both"/>
      </w:pPr>
      <w:r>
        <w:rPr>
          <w:b/>
        </w:rPr>
        <w:t xml:space="preserve">4.3. </w:t>
      </w:r>
      <w:r>
        <w:t>Оплате подлежит деятельность по проведению исследования и подготовке Заключения, а не получение результата, совпадающего с ожиданиями или правовой позицией Заказчика.</w:t>
      </w:r>
    </w:p>
    <w:p>
      <w:pPr>
        <w:jc w:val="both"/>
      </w:pPr>
      <w:r>
        <w:rPr>
          <w:b/>
        </w:rPr>
        <w:t xml:space="preserve">4.4. </w:t>
      </w:r>
      <w:r>
        <w:t>Несогласие Заказчика с объективно обоснованными выводами, неполучение ожидаемого результата либо отказ третьего лица принять Заключение сами по себе не означают ненадлежащее качество услуги.</w:t>
      </w:r>
    </w:p>
    <w:p>
      <w:pPr>
        <w:jc w:val="both"/>
      </w:pPr>
      <w:r>
        <w:rPr>
          <w:b/>
        </w:rPr>
        <w:t xml:space="preserve">4.5. </w:t>
      </w:r>
      <w:r>
        <w:t>Исполнитель устраняет допущенные им опечатки, арифметические и иные очевидные технические ошибки без дополнительной оплаты. Изменение задания, исследование новых материалов или подготовка новых выводов оплачиваются отдельно.</w:t>
      </w:r>
    </w:p>
    <w:p>
      <w:pPr>
        <w:jc w:val="both"/>
      </w:pPr>
      <w:r>
        <w:rPr>
          <w:b/>
        </w:rPr>
        <w:t xml:space="preserve">4.6. </w:t>
      </w:r>
      <w:r>
        <w:t>Сведения о профессиональной подготовке Исполнителя. В зависимости от предмета конкретного исследования в Заключении специалиста указываются относящиеся к нему документы об образовании и профессиональной подготовке, в том числе:</w:t>
      </w:r>
    </w:p>
    <w:p>
      <w:pPr>
        <w:ind w:left="283"/>
        <w:jc w:val="both"/>
      </w:pPr>
      <w:r>
        <w:t>1) высшее образование — бакалавриат по направлению 09.03.01 «Информатика и вычислительная техника», ФГБОУ ВО «Сибирский государственный университет телекоммуникаций и информатики», 2019 г.;</w:t>
      </w:r>
    </w:p>
    <w:p>
      <w:pPr>
        <w:ind w:left="283"/>
        <w:jc w:val="both"/>
      </w:pPr>
      <w:r>
        <w:t>2) высшее образование — магистратура по направлению 09.04.03 «Прикладная информатика», Курский институт менеджмента, экономики и бизнеса, 2022 г.;</w:t>
      </w:r>
    </w:p>
    <w:p>
      <w:pPr>
        <w:ind w:left="283"/>
        <w:jc w:val="both"/>
      </w:pPr>
      <w:r>
        <w:t>3) диплом об окончании аспирантуры по направлению подготовки 40.06.01 «Юриспруденция», квалификация «Исследователь. Преподаватель-исследователь», Московский финансово-юридический университет МФЮА, 2025 г.;</w:t>
      </w:r>
    </w:p>
    <w:p>
      <w:pPr>
        <w:ind w:left="283"/>
        <w:jc w:val="both"/>
      </w:pPr>
      <w:r>
        <w:t>4) профессиональная переподготовка по программе «Судебная компьютерно-техническая экспертиза», 2020 г.;</w:t>
      </w:r>
    </w:p>
    <w:p>
      <w:pPr>
        <w:ind w:left="283"/>
        <w:jc w:val="both"/>
      </w:pPr>
      <w:r>
        <w:t>5) профессиональная переподготовка по программе «Техническая защита информации ограниченного доступа, не содержащей сведения, составляющие государственную тайну», ФГБОУ ВО «Саратовский государственный университет имени Н. Г. Чернышевского», 2023 г.;</w:t>
      </w:r>
    </w:p>
    <w:p>
      <w:pPr>
        <w:ind w:left="283"/>
        <w:jc w:val="both"/>
      </w:pPr>
      <w:r>
        <w:t>6) профессиональная переподготовка по программе «Судебно-экспертная деятельность», квалификация «Судебный эксперт», ФГБОУ ВО «Воронежский государственный технический университет», 2026 г.;</w:t>
      </w:r>
    </w:p>
    <w:p>
      <w:pPr>
        <w:ind w:left="283"/>
        <w:jc w:val="both"/>
      </w:pPr>
      <w:r>
        <w:t>7) повышение квалификации по программе «Криминалистическая экспертиза: подготовка, назначение, производство и оценка», ФГБОУ ВО «Саратовская государственная юридическая академия», 2026 г.</w:t>
      </w:r>
    </w:p>
    <w:p>
      <w:pPr>
        <w:jc w:val="both"/>
      </w:pPr>
      <w:r>
        <w:rPr>
          <w:b/>
        </w:rPr>
        <w:t xml:space="preserve">4.7. </w:t>
      </w:r>
      <w:r>
        <w:t>Конкретные сведения об образовании, профессиональной переподготовке, повышении квалификации, сертификации и иных документах Исполнителя, имеющих значение для соответствующего исследования, могут указываться в Счете-заказе, Заключении специалиста или приложениях к нему.</w:t>
      </w:r>
    </w:p>
    <w:p>
      <w:pPr>
        <w:jc w:val="both"/>
      </w:pPr>
      <w:r>
        <w:rPr>
          <w:b/>
        </w:rPr>
        <w:t xml:space="preserve">4.8. </w:t>
      </w:r>
      <w:r>
        <w:t>По запросу Заказчика Исполнитель предоставляет для ознакомления сведения о документах об образовании и квалификации, относящихся к предмету согласованного исследования. Копии документов могут предоставляться с закрытием сведений, не относящихся к подтверждению квалификации.</w:t>
      </w:r>
    </w:p>
    <w:p>
      <w:pPr>
        <w:jc w:val="both"/>
      </w:pPr>
      <w:r>
        <w:rPr>
          <w:b/>
        </w:rPr>
        <w:t xml:space="preserve">4.9. </w:t>
      </w:r>
      <w:r>
        <w:t>Заверения о наличии образования, квалификации и отсутствии препятствий к осуществлению деятельности не являются гарантией заранее определенного вывода исследования, принятия Заключения специалиста судом, государственным органом или иным лицом либо достижения Заказчиком определенного судебного, административного, страхового или коммерческого результата.</w:t>
      </w:r>
    </w:p>
    <w:p>
      <w:pPr>
        <w:jc w:val="both"/>
      </w:pPr>
      <w:r>
        <w:rPr>
          <w:b/>
        </w:rPr>
        <w:t xml:space="preserve">4.10. </w:t>
      </w:r>
      <w:r>
        <w:t>Если после заключения договора Исполнитель установит, что согласованные вопросы полностью или частично выходят за пределы его специальных знаний либо для ответа на них требуется специалист иной квалификации, Исполнитель уведомляет об этом Заказчика и предлагает изменить задание, привлечь соответствующего специалиста либо прекратить исполнение в соответствующей части с проведением расчета по правилам настоящей Оферты.</w:t>
      </w:r>
    </w:p>
    <w:p>
      <w:pPr>
        <w:pStyle w:val="Heading1"/>
        <w:keepNext/>
      </w:pPr>
      <w:r>
        <w:t>5. Права и обязанности Исполнителя</w:t>
      </w:r>
    </w:p>
    <w:p>
      <w:pPr>
        <w:jc w:val="both"/>
      </w:pPr>
      <w:r>
        <w:rPr>
          <w:b/>
        </w:rPr>
        <w:t xml:space="preserve">5.1. </w:t>
      </w:r>
      <w:r>
        <w:t>Исполнитель обязан действовать добросовестно, соблюдать согласованный объём услуг, обеспечивать сохранность принятых материалов и оригиналов документов, не разглашать конфиденциальные сведения и сообщить Заказчику о выявленной невозможности продолжения исследования.</w:t>
      </w:r>
    </w:p>
    <w:p>
      <w:pPr>
        <w:jc w:val="both"/>
      </w:pPr>
      <w:r>
        <w:rPr>
          <w:b/>
        </w:rPr>
        <w:t xml:space="preserve">5.2. </w:t>
      </w:r>
      <w:r>
        <w:t>Исполнитель вправе самостоятельно выбирать научно и методически обоснованные методы исследования в пределах задания, если специальные условия не согласованы в Счете-заказе.</w:t>
      </w:r>
    </w:p>
    <w:p>
      <w:pPr>
        <w:jc w:val="both"/>
      </w:pPr>
      <w:r>
        <w:rPr>
          <w:b/>
        </w:rPr>
        <w:t xml:space="preserve">5.3. </w:t>
      </w:r>
      <w:r>
        <w:t>Исполнитель вправе запрашивать дополнительные материалы, документы, контекст, пояснения и сведения, необходимые для исследования, а до их получения — приостановить срок оказания услуг.</w:t>
      </w:r>
    </w:p>
    <w:p>
      <w:pPr>
        <w:jc w:val="both"/>
      </w:pPr>
      <w:r>
        <w:rPr>
          <w:b/>
        </w:rPr>
        <w:t xml:space="preserve">5.4. </w:t>
      </w:r>
      <w:r>
        <w:t>Исполнитель вправе отказаться от подготовки Заключения либо предложить изменить задание, если вопросы выходят за пределы его специальных знаний, материалы недостаточны или непригодны, выявлен конфликт интересов, исследование или использование материалов очевидно противоречат закону либо отсутствуют необходимые условия.</w:t>
      </w:r>
    </w:p>
    <w:p>
      <w:pPr>
        <w:jc w:val="both"/>
      </w:pPr>
      <w:r>
        <w:rPr>
          <w:b/>
        </w:rPr>
        <w:t xml:space="preserve">5.5. </w:t>
      </w:r>
      <w:r>
        <w:t>Заключение подписывается лично специалистом, указанным в Счёте-заказе. При необходимости отдельные вопросы могут исследоваться привлечёнными специалистами соответствующей квалификации после согласования с Заказчиком; их участие и результаты отражаются в Заключении, когда это имеет значение.</w:t>
      </w:r>
    </w:p>
    <w:p>
      <w:pPr>
        <w:jc w:val="both"/>
      </w:pPr>
      <w:r>
        <w:rPr>
          <w:b/>
        </w:rPr>
        <w:t xml:space="preserve">5.6. </w:t>
      </w:r>
      <w:r>
        <w:t>Исполнитель вправе направлять запросы третьим лицам, но не гарантирует получение ответа и не приобретает по настоящему договору властных полномочий требовать сведения.</w:t>
      </w:r>
    </w:p>
    <w:p>
      <w:pPr>
        <w:pStyle w:val="Heading1"/>
        <w:keepNext/>
      </w:pPr>
      <w:r>
        <w:t>6. Права и обязанности Заказчика</w:t>
      </w:r>
    </w:p>
    <w:p>
      <w:pPr>
        <w:jc w:val="both"/>
      </w:pPr>
      <w:r>
        <w:rPr>
          <w:b/>
        </w:rPr>
        <w:t xml:space="preserve">6.1. </w:t>
      </w:r>
      <w:r>
        <w:t>Заказчик обязан предоставить полные и достоверные сведения и материалы, сообщить известные обстоятельства происхождения, создания, изменения, эксплуатации, передачи, хранения и предыдущего исследования объектов и материалов, если они способны повлиять на выводы.</w:t>
      </w:r>
    </w:p>
    <w:p>
      <w:pPr>
        <w:jc w:val="both"/>
      </w:pPr>
      <w:r>
        <w:rPr>
          <w:b/>
        </w:rPr>
        <w:t xml:space="preserve">6.2. </w:t>
      </w:r>
      <w:r>
        <w:t>Заказчик гарантирует законность получения и передачи материалов либо сообщает, что материалы передаются адвокатом (защитником), представителем или иным лицом, имеющим законные основания располагать ими. Исполнитель вправе запросить подтверждение полномочий или правового основания передачи, если характер материалов этого требует.</w:t>
      </w:r>
    </w:p>
    <w:p>
      <w:pPr>
        <w:jc w:val="both"/>
      </w:pPr>
      <w:r>
        <w:rPr>
          <w:b/>
        </w:rPr>
        <w:t xml:space="preserve">6.3. </w:t>
      </w:r>
      <w:r>
        <w:t>Заказчик обязан обеспечить возможность законного ознакомления Исполнителя с материалами и, при необходимости, предоставить сведения о процессуальных или договорных ограничениях их использования и разглашения.</w:t>
      </w:r>
    </w:p>
    <w:p>
      <w:pPr>
        <w:jc w:val="both"/>
      </w:pPr>
      <w:r>
        <w:rPr>
          <w:b/>
        </w:rPr>
        <w:t xml:space="preserve">6.4. </w:t>
      </w:r>
      <w:r>
        <w:t>Заказчик обязан своевременно отвечать на запросы Исполнителя, согласовывать дополнительные расходы, принять результат и произвести оплату.</w:t>
      </w:r>
    </w:p>
    <w:p>
      <w:pPr>
        <w:jc w:val="both"/>
      </w:pPr>
      <w:r>
        <w:rPr>
          <w:b/>
        </w:rPr>
        <w:t xml:space="preserve">6.5. </w:t>
      </w:r>
      <w:r>
        <w:t>Заказчик вправе получать информацию о ходе работ в объеме, который не нарушает независимость исследования, а также заявлять мотивированные замечания о соответствии услуги Счету-заказу.</w:t>
      </w:r>
    </w:p>
    <w:p>
      <w:pPr>
        <w:jc w:val="both"/>
      </w:pPr>
      <w:r>
        <w:rPr>
          <w:b/>
        </w:rPr>
        <w:t xml:space="preserve">6.6. </w:t>
      </w:r>
      <w:r>
        <w:t>Заказчик обязан предупредить, если передаваемые материалы содержат государственную, адвокатскую, следственную, коммерческую, медицинскую или иную охраняемую законом тайну, специальные категории персональных данных либо иные сведения ограниченного доступа, и сообщить применимые ограничения.</w:t>
      </w:r>
    </w:p>
    <w:p>
      <w:pPr>
        <w:pStyle w:val="Heading1"/>
        <w:keepNext/>
      </w:pPr>
      <w:r>
        <w:t>7. Передача, использование и возврат материалов</w:t>
      </w:r>
    </w:p>
    <w:p>
      <w:pPr>
        <w:jc w:val="both"/>
      </w:pPr>
      <w:r>
        <w:rPr>
          <w:b/>
        </w:rPr>
        <w:t xml:space="preserve">7.1. </w:t>
      </w:r>
      <w:r>
        <w:t>Материалы могут передаваться в электронном виде, на бумажном носителе либо на ином носителе. Передача оригиналов и физических носителей при необходимости подтверждается описью, актом, почтовым или курьерским документом либо иным способом, позволяющим установить состав и дату передачи.</w:t>
      </w:r>
    </w:p>
    <w:p>
      <w:pPr>
        <w:jc w:val="both"/>
      </w:pPr>
      <w:r>
        <w:rPr>
          <w:b/>
        </w:rPr>
        <w:t xml:space="preserve">7.2. </w:t>
      </w:r>
      <w:r>
        <w:t>Материалы может передать Заказчик, плательщик по поручению Заказчика, адвокат (защитник), представитель или иное лицо, законно располагающее ими. Передача материалов таким лицом не означает, что оно вправе определять содержание профессиональных выводов Исполнителя.</w:t>
      </w:r>
    </w:p>
    <w:p>
      <w:pPr>
        <w:jc w:val="both"/>
      </w:pPr>
      <w:r>
        <w:rPr>
          <w:b/>
        </w:rPr>
        <w:t xml:space="preserve">7.3. </w:t>
      </w:r>
      <w:r>
        <w:t>Если материалы относятся к уголовному, гражданскому, административному или иному производству, лицо, передающее их, отвечает за наличие законного основания для передачи и сообщает Исполнителю известные ограничения на разглашение и использование.</w:t>
      </w:r>
    </w:p>
    <w:p>
      <w:pPr>
        <w:jc w:val="both"/>
      </w:pPr>
      <w:r>
        <w:rPr>
          <w:b/>
        </w:rPr>
        <w:t xml:space="preserve">7.4. </w:t>
      </w:r>
      <w:r>
        <w:t>Оригиналы документов и физические носители не изменяются и не уничтожаются без отдельного письменного согласования. Техническое копирование, преобразование формата и создание рабочих копий допускаются в объёме, необходимом для исследования.</w:t>
      </w:r>
    </w:p>
    <w:p>
      <w:pPr>
        <w:jc w:val="both"/>
      </w:pPr>
      <w:r>
        <w:rPr>
          <w:b/>
        </w:rPr>
        <w:t xml:space="preserve">7.5. </w:t>
      </w:r>
      <w:r>
        <w:t>Возврат переданных оригиналов и физических носителей производится способом, указанным в Счёте-заказе или согласованном сообщении. Электронные рабочие копии хранятся и удаляются с учётом условий договора, требований законодательства и необходимости защиты прав сторон.</w:t>
      </w:r>
    </w:p>
    <w:p>
      <w:pPr>
        <w:pStyle w:val="Heading1"/>
        <w:keepNext/>
      </w:pPr>
      <w:r>
        <w:t>8. Стоимость и расчеты</w:t>
      </w:r>
    </w:p>
    <w:p>
      <w:pPr>
        <w:jc w:val="both"/>
      </w:pPr>
      <w:r>
        <w:rPr>
          <w:b/>
        </w:rPr>
        <w:t xml:space="preserve">8.1. </w:t>
      </w:r>
      <w:r>
        <w:t>Стоимость, порядок и сроки оплаты указываются в Счете-заказе. Если иное не указано, услуги оплачиваются на условиях 100-процентной предварительной оплаты.</w:t>
      </w:r>
    </w:p>
    <w:p>
      <w:pPr>
        <w:jc w:val="both"/>
      </w:pPr>
      <w:r>
        <w:rPr>
          <w:b/>
        </w:rPr>
        <w:t xml:space="preserve">8.2. </w:t>
      </w:r>
      <w:r>
        <w:t>Счетом-заказом может быть предусмотрена 100-процентная предварительная оплата либо частичная оплата с последующей оплатой оставшейся части стоимости. Размер платежа, являющегося акцептом Оферты, размер оставшейся части стоимости и срок ее оплаты определяются в Счете-заказе.</w:t>
      </w:r>
    </w:p>
    <w:p>
      <w:pPr>
        <w:jc w:val="both"/>
      </w:pPr>
      <w:r>
        <w:rPr>
          <w:b/>
        </w:rPr>
        <w:t xml:space="preserve">8.3. </w:t>
      </w:r>
      <w:r>
        <w:t>При частичной оплате внесенная сумма полностью засчитывается в общую стоимость услуг и не является самостоятельной платой за заключение договора, задатком, штрафом или комиссией.</w:t>
      </w:r>
    </w:p>
    <w:p>
      <w:pPr>
        <w:jc w:val="both"/>
      </w:pPr>
      <w:r>
        <w:rPr>
          <w:b/>
        </w:rPr>
        <w:t xml:space="preserve">8.4. </w:t>
      </w:r>
      <w:r>
        <w:t>Платёж может быть внесён Заказчиком либо третьим лицом за Заказчика. При оплате третьим лицом в назначении платежа или ином сообщении указываются сведения, позволяющие идентифицировать Счёт-заказ. Такая оплата считается исполнением денежного обязательства Заказчика в соответствующей части после поступления средств Исполнителю.</w:t>
      </w:r>
    </w:p>
    <w:p>
      <w:pPr>
        <w:jc w:val="both"/>
      </w:pPr>
      <w:r>
        <w:rPr>
          <w:b/>
        </w:rPr>
        <w:t xml:space="preserve">8.5. </w:t>
      </w:r>
      <w:r>
        <w:t>Если Счетом-заказом предусмотрена оплата оставшейся части стоимости после завершения исследования, Исполнитель направляет Заказчику уведомление о готовности Заключения специалиста и сообщает сумму, подлежащую оплате. Если иной срок не установлен Счетом-заказом, оставшаяся часть стоимости оплачивается в течение 3 рабочих дней со дня направления такого уведомления.</w:t>
      </w:r>
    </w:p>
    <w:p>
      <w:pPr>
        <w:jc w:val="both"/>
      </w:pPr>
      <w:r>
        <w:rPr>
          <w:b/>
        </w:rPr>
        <w:t xml:space="preserve">8.6. </w:t>
      </w:r>
      <w:r>
        <w:t>Если Счетом-заказом предусмотрена оплата оставшейся части стоимости после уведомления о готовности Заключения специалиста, Заключение специалиста передается Заказчику после полной оплаты стоимости услуг, если иной порядок прямо не установлен Счетом-заказом. При своевременном направлении уведомления о готовности Заключения специалиста его непередача до поступления полной оплаты не считается нарушением срока оказания услуг.</w:t>
      </w:r>
    </w:p>
    <w:p>
      <w:pPr>
        <w:jc w:val="both"/>
      </w:pPr>
      <w:r>
        <w:rPr>
          <w:b/>
        </w:rPr>
        <w:t xml:space="preserve">8.7. </w:t>
      </w:r>
      <w:r>
        <w:t>Статус налога на добавленную стоимость указывается в Счете-заказе и расчетных документах.</w:t>
      </w:r>
    </w:p>
    <w:p>
      <w:pPr>
        <w:jc w:val="both"/>
      </w:pPr>
      <w:r>
        <w:rPr>
          <w:b/>
        </w:rPr>
        <w:t xml:space="preserve">8.8. </w:t>
      </w:r>
      <w:r>
        <w:t>Услуги привлечённых специалистов, получение или техническая подготовка материалов, нотариальные действия, доставка, командировочные и иные дополнительные расходы не входят в цену, если это прямо не указано в Счёте-заказе. Они осуществляются после предварительного письменного согласования суммы или предела расходов.</w:t>
      </w:r>
    </w:p>
    <w:p>
      <w:pPr>
        <w:jc w:val="both"/>
      </w:pPr>
      <w:r>
        <w:rPr>
          <w:b/>
        </w:rPr>
        <w:t xml:space="preserve">8.9. </w:t>
      </w:r>
      <w:r>
        <w:t>Исполнитель выдает кассовый чек либо иной расчетный документ в случаях и порядке, предусмотренных законодательством. При получении предварительной оплаты, её последующем зачёте, окончательном расчёте, возврате денежных средств и иных расчётах кассовые чеки формируются с соответствующими признаками расчёта и способа расчёта в соответствии с требованиями законодательства Российской Федерации. Кассовый чек направляется на предоставленные Заказчиком адрес электронной почты или абонентский номер либо передаётся иным предусмотренным законом способом.</w:t>
      </w:r>
    </w:p>
    <w:p>
      <w:pPr>
        <w:jc w:val="both"/>
      </w:pPr>
      <w:r>
        <w:rPr>
          <w:b/>
        </w:rPr>
        <w:t xml:space="preserve">8.10. </w:t>
      </w:r>
      <w:r>
        <w:t>Договорная неустойка, штраф или пеня за просрочку оплаты настоящей Офертой не устанавливаются. При просрочке оплаты Исполнитель вправе приостановить оказание услуг либо передачу Заключения специалиста до поступления предусмотренной Счетом-заказом суммы, предварительно уведомив об этом Заказчика. Отсутствие договорной неустойки не освобождает Заказчика от обязанности оплатить фактически оказанные услуги и согласованные расходы.</w:t>
      </w:r>
    </w:p>
    <w:p>
      <w:pPr>
        <w:pStyle w:val="Heading1"/>
        <w:keepNext/>
      </w:pPr>
      <w:r>
        <w:t>9. Срок оказания услуг</w:t>
      </w:r>
    </w:p>
    <w:p>
      <w:pPr>
        <w:jc w:val="both"/>
      </w:pPr>
      <w:r>
        <w:rPr>
          <w:b/>
        </w:rPr>
        <w:t xml:space="preserve">9.1. </w:t>
      </w:r>
      <w:r>
        <w:t>Срок указывается в Счёте-заказе и начинает течь со следующего рабочего дня после наступления последнего из необходимых событий: поступления предусмотренного платежа, получения полного комплекта материалов и обязательных согласований.</w:t>
      </w:r>
    </w:p>
    <w:p>
      <w:pPr>
        <w:jc w:val="both"/>
      </w:pPr>
      <w:r>
        <w:rPr>
          <w:b/>
        </w:rPr>
        <w:t xml:space="preserve">9.2. </w:t>
      </w:r>
      <w:r>
        <w:t>Срок приостанавливается на период ожидания материалов, ответов, доступа, согласия на разрушающие методы, оплаты согласованных расходов, устранения опасных условий, а также при иных препятствиях, зависящих от Заказчика или третьих лиц.</w:t>
      </w:r>
    </w:p>
    <w:p>
      <w:pPr>
        <w:jc w:val="both"/>
      </w:pPr>
      <w:r>
        <w:rPr>
          <w:b/>
        </w:rPr>
        <w:t xml:space="preserve">9.3. </w:t>
      </w:r>
      <w:r>
        <w:t>Если выявленный объем существенно превышает первоначально предполагаемый либо требуется дополнительное исследование, Исполнитель направляет предложение об изменении срока и цены. Без согласования выполняется только первоначальный объем, если это технически возможно.</w:t>
      </w:r>
    </w:p>
    <w:p>
      <w:pPr>
        <w:jc w:val="both"/>
      </w:pPr>
      <w:r>
        <w:rPr>
          <w:b/>
        </w:rPr>
        <w:t xml:space="preserve">9.4. </w:t>
      </w:r>
      <w:r>
        <w:t>О задержке и предполагаемой новой дате завершения Исполнитель уведомляет Заказчика по согласованному каналу связи.</w:t>
      </w:r>
    </w:p>
    <w:p>
      <w:pPr>
        <w:pStyle w:val="Heading1"/>
        <w:keepNext/>
      </w:pPr>
      <w:r>
        <w:t>10. Передача результата и приемка услуг</w:t>
      </w:r>
    </w:p>
    <w:p>
      <w:pPr>
        <w:jc w:val="both"/>
      </w:pPr>
      <w:r>
        <w:rPr>
          <w:b/>
        </w:rPr>
        <w:t xml:space="preserve">10.1. </w:t>
      </w:r>
      <w:r>
        <w:t>Заключение передается в электронном виде и (или) на бумажном носителе согласно Счету-заказу. Электронный экземпляр может передаваться по электронной почте, через систему электронного документооборота, защищенное хранилище или иной согласованный канал.</w:t>
      </w:r>
    </w:p>
    <w:p>
      <w:pPr>
        <w:jc w:val="both"/>
      </w:pPr>
      <w:r>
        <w:rPr>
          <w:b/>
        </w:rPr>
        <w:t xml:space="preserve">10.2. </w:t>
      </w:r>
      <w:r>
        <w:t>Одновременно либо отдельно Исполнитель направляет Акт оказанных услуг.</w:t>
      </w:r>
    </w:p>
    <w:p>
      <w:pPr>
        <w:jc w:val="both"/>
      </w:pPr>
      <w:r>
        <w:rPr>
          <w:b/>
        </w:rPr>
        <w:t xml:space="preserve">10.3. </w:t>
      </w:r>
      <w:r>
        <w:t>Заказчик в течение 5 рабочих дней со дня получения Заключения специалиста и Акта оказанных услуг вправе подписать Акт, направить мотивированные письменные замечания с указанием конкретных несоответствий условиям Счета-заказа либо запросить разъяснение по порядку передачи или оформлению результата.</w:t>
      </w:r>
    </w:p>
    <w:p>
      <w:pPr>
        <w:jc w:val="both"/>
      </w:pPr>
      <w:r>
        <w:rPr>
          <w:b/>
        </w:rPr>
        <w:t xml:space="preserve">10.4. </w:t>
      </w:r>
      <w:r>
        <w:t>Если в установленный срок мотивированные замечания не поступили, Исполнитель вправе считать услуги принятыми в согласованном объеме и оформить односторонний Акт с приложением доказательств направления Заключения специалиста и Акта Заказчику. Неподписание Акта само по себе не освобождает Заказчика от оплаты. Настоящий пункт не ограничивает право Заказчика предъявить требования в связи с недостатками услуги в случаях и сроки, предусмотренные законодательством Российской Федерации.</w:t>
      </w:r>
    </w:p>
    <w:p>
      <w:pPr>
        <w:jc w:val="both"/>
      </w:pPr>
      <w:r>
        <w:rPr>
          <w:b/>
        </w:rPr>
        <w:t xml:space="preserve">10.5. </w:t>
      </w:r>
      <w:r>
        <w:t>Электронное сообщение считается направленным по адресу или номеру, сообщенному Заказчиком. Юридически значимые сообщения считаются доставленными по правилам статьи 165.1 Гражданского кодекса Российской Федерации, в том числе когда они поступили адресату, но не были им прочитаны по зависящим от него обстоятельствам.</w:t>
      </w:r>
    </w:p>
    <w:p>
      <w:pPr>
        <w:pStyle w:val="Heading1"/>
        <w:keepNext/>
      </w:pPr>
      <w:r>
        <w:t>11. Отказ от договора и невозможность исполнения</w:t>
      </w:r>
    </w:p>
    <w:p>
      <w:pPr>
        <w:jc w:val="both"/>
      </w:pPr>
      <w:r>
        <w:rPr>
          <w:b/>
        </w:rPr>
        <w:t xml:space="preserve">11.1. </w:t>
      </w:r>
      <w:r>
        <w:t>Заказчик вправе отказаться от исполнения договора в любое время до полного оказания услуг, направив Исполнителю уведомление по адресу zapros@tech-expert.moscow либо по почтовому адресу Исполнителя. При отказе Заказчик возмещает только документально подтвержденные расходы, фактически понесенные Исполнителем в связи с исполнением конкретного Счета-заказа до получения уведомления об отказе. Штраф или иная отдельная плата за отказ от договора не взимается. Неиспользованная часть ранее внесенной оплаты возвращается Заказчику после определения суммы фактически понесенных расходов. Если фактически понесенные расходы превышают сумму поступившей оплаты, Заказчик оплачивает соответствующую разницу на основании направленного Исполнителем расчета и подтверждающих документов.</w:t>
      </w:r>
    </w:p>
    <w:p>
      <w:pPr>
        <w:jc w:val="both"/>
      </w:pPr>
      <w:r>
        <w:rPr>
          <w:b/>
        </w:rPr>
        <w:t xml:space="preserve">11.2. </w:t>
      </w:r>
      <w:r>
        <w:t>Размер фактически понесённых расходов определяется на основании платёжных документов, документов привлечённых специалистов, расходов на получение и техническую подготовку материалов, доставку, командировочных и иных доказательств расходов, непосредственно связанных с исполнением конкретного заказа.</w:t>
      </w:r>
    </w:p>
    <w:p>
      <w:pPr>
        <w:jc w:val="both"/>
      </w:pPr>
      <w:r>
        <w:rPr>
          <w:b/>
        </w:rPr>
        <w:t xml:space="preserve">11.3. </w:t>
      </w:r>
      <w:r>
        <w:t>Если исполнение стало невозможным по обстоятельствам, зависящим от Заказчика, последствия определяются законодательством Российской Федерации с учетом объема фактически выполненных действий и понесенных Исполнителем расходов. Если исполнение стало невозможным по обстоятельствам, за которые ни одна из Сторон не отвечает, Заказчик возмещает документально подтвержденные фактически понесенные расходы, если иное не предусмотрено обязательными нормами законодательства Российской Федерации.</w:t>
      </w:r>
    </w:p>
    <w:p>
      <w:pPr>
        <w:jc w:val="both"/>
      </w:pPr>
      <w:r>
        <w:rPr>
          <w:b/>
        </w:rPr>
        <w:t xml:space="preserve">11.4. </w:t>
      </w:r>
      <w:r>
        <w:t>Исполнитель вправе отказаться от исполнения только в случаях и с последствиями, допускаемыми законом, включая возврат неотработанной части оплаты и возмещение убытков Заказчика, когда такая обязанность установлена.</w:t>
      </w:r>
    </w:p>
    <w:p>
      <w:pPr>
        <w:jc w:val="both"/>
      </w:pPr>
      <w:r>
        <w:rPr>
          <w:b/>
        </w:rPr>
        <w:t xml:space="preserve">11.5. </w:t>
      </w:r>
      <w:r>
        <w:t>При невозможности подготовить Заключение Исполнитель направляет мотивированное уведомление и расчет фактически выполненной части. По согласованию может быть подготовлен информационный отчет о выполненных действиях без ответов на вопросы.</w:t>
      </w:r>
    </w:p>
    <w:p>
      <w:pPr>
        <w:pStyle w:val="Heading1"/>
        <w:keepNext/>
      </w:pPr>
      <w:r>
        <w:t>12. Конфиденциальность и персональные данные</w:t>
      </w:r>
    </w:p>
    <w:p>
      <w:pPr>
        <w:jc w:val="both"/>
      </w:pPr>
      <w:r>
        <w:rPr>
          <w:b/>
        </w:rPr>
        <w:t xml:space="preserve">12.1. </w:t>
      </w:r>
      <w:r>
        <w:t>Исполнитель не разглашает полученные при исполнении сведения, кроме случаев, когда раскрытие необходимо для выполнения договора, привлечения согласованного специалиста, передачи результата указанному Заказчиком представителю, защиты прав Исполнителя либо обязательно по закону.</w:t>
      </w:r>
    </w:p>
    <w:p>
      <w:pPr>
        <w:jc w:val="both"/>
      </w:pPr>
      <w:r>
        <w:rPr>
          <w:b/>
        </w:rPr>
        <w:t xml:space="preserve">12.2. </w:t>
      </w:r>
      <w:r>
        <w:t>Использование имени Заказчика, сведений о лице, в интересах которого проводится исследование, содержания Заключения, материалов дела или иных исследованных сведений в рекламе, портфолио и публикациях допускается только при наличии отдельного законного основания или согласия соответствующего лица.</w:t>
      </w:r>
    </w:p>
    <w:p>
      <w:pPr>
        <w:jc w:val="both"/>
      </w:pPr>
      <w:r>
        <w:rPr>
          <w:b/>
        </w:rPr>
        <w:t xml:space="preserve">12.3. </w:t>
      </w:r>
      <w:r>
        <w:t>Персональные данные обрабатываются в объёме, необходимом для приёма Заявки, заключения и исполнения договора, расчётов, исследования материалов, передачи результата и рассмотрения обращений. Подробные условия размещены в Политике обработки персональных данных: https://tech-expert.moscow/legal/privacy-policy/.</w:t>
      </w:r>
    </w:p>
    <w:p>
      <w:pPr>
        <w:jc w:val="both"/>
      </w:pPr>
      <w:r>
        <w:rPr>
          <w:b/>
        </w:rPr>
        <w:t xml:space="preserve">12.4. </w:t>
      </w:r>
      <w:r>
        <w:t>Заказчик не должен направлять специальные категории персональных данных и сведения ограниченного доступа, если они не требуются для исследования. Если такие сведения объективно необходимы, Заказчик или лицо, передающее материалы, сообщает об их характере и известных ограничениях.</w:t>
      </w:r>
    </w:p>
    <w:p>
      <w:pPr>
        <w:jc w:val="both"/>
      </w:pPr>
      <w:r>
        <w:rPr>
          <w:b/>
        </w:rPr>
        <w:t xml:space="preserve">12.5. </w:t>
      </w:r>
      <w:r>
        <w:t>Если Исполнитель надлежащим образом предупреждён о недопустимости разглашения данных предварительного расследования или принимает письменное обязательство о неразглашении, соответствующие сведения используются только в пределах порученного исследования и установленных ограничений.</w:t>
      </w:r>
    </w:p>
    <w:p>
      <w:pPr>
        <w:pStyle w:val="Heading1"/>
        <w:keepNext/>
      </w:pPr>
      <w:r>
        <w:t>13. Ответственность</w:t>
      </w:r>
    </w:p>
    <w:p>
      <w:pPr>
        <w:jc w:val="both"/>
      </w:pPr>
      <w:r>
        <w:rPr>
          <w:b/>
        </w:rPr>
        <w:t xml:space="preserve">13.1. </w:t>
      </w:r>
      <w:r>
        <w:t>Стороны несут ответственность в соответствии с законом и договором.</w:t>
      </w:r>
    </w:p>
    <w:p>
      <w:pPr>
        <w:jc w:val="both"/>
      </w:pPr>
      <w:r>
        <w:rPr>
          <w:b/>
        </w:rPr>
        <w:t xml:space="preserve">13.2. </w:t>
      </w:r>
      <w:r>
        <w:t>Исполнитель не отвечает за последствия недостоверности, неполноты или несвоевременности предоставленных сведений, за отсутствие существенного контекста, изменение, удаление либо недоступность исследуемых цифровых данных или объектов по действиям третьих лиц, а также за решения суда, следствия или иных третьих лиц при отсутствии вины Исполнителя.</w:t>
      </w:r>
    </w:p>
    <w:p>
      <w:pPr>
        <w:jc w:val="both"/>
      </w:pPr>
      <w:r>
        <w:rPr>
          <w:b/>
        </w:rPr>
        <w:t xml:space="preserve">13.3. </w:t>
      </w:r>
      <w:r>
        <w:t>Исполнитель не гарантирует определенный судебный, административный, страховой, коммерческий или иной результат.</w:t>
      </w:r>
    </w:p>
    <w:p>
      <w:pPr>
        <w:jc w:val="both"/>
      </w:pPr>
      <w:r>
        <w:rPr>
          <w:b/>
        </w:rPr>
        <w:t xml:space="preserve">13.4. </w:t>
      </w:r>
      <w:r>
        <w:t>Условия настоящей Оферты не применяются в той части, в которой они ограничивают права Заказчика, предоставленные ему обязательными нормами законодательства Российской Федерации. Предоставление одинаковых или более благоприятных договорных условий всем Заказчикам не изменяет правовой статус Сторон, определяемый законом.</w:t>
      </w:r>
    </w:p>
    <w:p>
      <w:pPr>
        <w:jc w:val="both"/>
      </w:pPr>
      <w:r>
        <w:rPr>
          <w:b/>
        </w:rPr>
        <w:t xml:space="preserve">13.5. </w:t>
      </w:r>
      <w:r>
        <w:t>Сторона освобождается от ответственности за нарушение вследствие чрезвычайных и непредотвратимых обстоятельств, если своевременно уведомит другую Сторону и подтвердит их влияние на исполнение.</w:t>
      </w:r>
    </w:p>
    <w:p>
      <w:pPr>
        <w:pStyle w:val="Heading1"/>
        <w:keepNext/>
      </w:pPr>
      <w:r>
        <w:t>14. Обмен сообщениями, претензии и споры</w:t>
      </w:r>
    </w:p>
    <w:p>
      <w:pPr>
        <w:jc w:val="both"/>
      </w:pPr>
      <w:r>
        <w:rPr>
          <w:b/>
        </w:rPr>
        <w:t xml:space="preserve">14.1. </w:t>
      </w:r>
      <w:r>
        <w:t>Стороны признают допустимым обмен документами и сообщениями по электронной почте, через мессенджер, систему электронного документооборота и иные согласованные каналы, позволяющие установить отправителя и содержание.</w:t>
      </w:r>
    </w:p>
    <w:p>
      <w:pPr>
        <w:jc w:val="both"/>
      </w:pPr>
      <w:r>
        <w:rPr>
          <w:b/>
        </w:rPr>
        <w:t xml:space="preserve">14.2. </w:t>
      </w:r>
      <w:r>
        <w:t>Общие, договорные обращения, уведомления об отказе, заявления о возврате денежных средств, претензии и обращения по вопросам обработки персональных данных направляются по адресу zapros@tech-expert.moscow. Почтовый адрес Исполнителя: 117647, г. Москва, а/я 15.</w:t>
      </w:r>
    </w:p>
    <w:p>
      <w:pPr>
        <w:jc w:val="both"/>
      </w:pPr>
      <w:r>
        <w:rPr>
          <w:b/>
        </w:rPr>
        <w:t xml:space="preserve">14.3. </w:t>
      </w:r>
      <w:r>
        <w:t>Претензия должна содержать сведения, позволяющие определить Заказчика и соответствующий Счет-заказ, описание обстоятельств, сформулированное требование и подтверждающие материалы. Исполнитель рассматривает претензию в срок, установленный законодательством Российской Федерации. Если обязательный срок законом не установлен, ответ направляется в течение 15 рабочих дней со дня получения претензии.</w:t>
      </w:r>
    </w:p>
    <w:p>
      <w:pPr>
        <w:jc w:val="both"/>
      </w:pPr>
      <w:r>
        <w:rPr>
          <w:b/>
        </w:rPr>
        <w:t xml:space="preserve">14.4. </w:t>
      </w:r>
      <w:r>
        <w:t>Стороны стремятся урегулировать возникающие разногласия путем переговоров и обмена письменными обращениями. При невозможности урегулировать спор путем переговоров он передается на рассмотрение суда в соответствии с правилами подведомственности и подсудности, установленными законодательством Российской Федерации. Настоящая Оферта не ограничивает право Заказчика на выбор суда в случаях, когда такое право предоставлено ему законом.</w:t>
      </w:r>
    </w:p>
    <w:p>
      <w:pPr>
        <w:jc w:val="both"/>
      </w:pPr>
      <w:r>
        <w:rPr>
          <w:b/>
        </w:rPr>
        <w:t xml:space="preserve">14.5. </w:t>
      </w:r>
      <w:r>
        <w:t>Недействительность отдельного условия не влечет недействительность остальных положений.</w:t>
      </w:r>
    </w:p>
    <w:p>
      <w:pPr>
        <w:pStyle w:val="Heading1"/>
        <w:keepNext/>
      </w:pPr>
      <w:r>
        <w:t>Реквизиты Исполнителя</w:t>
      </w:r>
    </w:p>
    <w:tbl>
      <w:tblPr>
        <w:tblStyle w:val="TableGrid"/>
        <w:tblW w:type="auto" w:w="0"/>
        <w:jc w:val="center"/>
        <w:tblLook w:firstColumn="1" w:firstRow="1" w:lastColumn="0" w:lastRow="0" w:noHBand="0" w:noVBand="1" w:val="04A0"/>
      </w:tblPr>
      <w:tblGrid>
        <w:gridCol w:w="5128"/>
        <w:gridCol w:w="5128"/>
      </w:tblGrid>
      <w:tr>
        <w:tc>
          <w:tcPr>
            <w:tcW w:type="dxa" w:w="5128"/>
            <w:vAlign w:val="center"/>
          </w:tcPr>
          <w:p>
            <w:r>
              <w:rPr>
                <w:rFonts w:ascii="Times New Roman" w:hAnsi="Times New Roman"/>
                <w:b/>
                <w:sz w:val="20"/>
              </w:rPr>
              <w:t>Реквизит</w:t>
            </w:r>
          </w:p>
        </w:tc>
        <w:tc>
          <w:tcPr>
            <w:tcW w:type="dxa" w:w="5128"/>
            <w:vAlign w:val="center"/>
          </w:tcPr>
          <w:p>
            <w:r>
              <w:rPr>
                <w:rFonts w:ascii="Times New Roman" w:hAnsi="Times New Roman"/>
                <w:b/>
                <w:sz w:val="20"/>
              </w:rPr>
              <w:t>Сведения</w:t>
            </w:r>
          </w:p>
        </w:tc>
      </w:tr>
      <w:tr>
        <w:tc>
          <w:tcPr>
            <w:tcW w:type="dxa" w:w="5128"/>
            <w:vAlign w:val="center"/>
          </w:tcPr>
          <w:p>
            <w:r>
              <w:rPr>
                <w:rFonts w:ascii="Times New Roman" w:hAnsi="Times New Roman"/>
                <w:sz w:val="20"/>
              </w:rPr>
              <w:t>Наименование</w:t>
            </w:r>
          </w:p>
        </w:tc>
        <w:tc>
          <w:tcPr>
            <w:tcW w:type="dxa" w:w="5128"/>
            <w:vAlign w:val="center"/>
          </w:tcPr>
          <w:p>
            <w:r>
              <w:rPr>
                <w:rFonts w:ascii="Times New Roman" w:hAnsi="Times New Roman"/>
                <w:sz w:val="20"/>
              </w:rPr>
              <w:t>Индивидуальный предприниматель Свирин Андрей Викторович</w:t>
            </w:r>
          </w:p>
        </w:tc>
      </w:tr>
      <w:tr>
        <w:tc>
          <w:tcPr>
            <w:tcW w:type="dxa" w:w="5128"/>
            <w:vAlign w:val="center"/>
          </w:tcPr>
          <w:p>
            <w:r>
              <w:rPr>
                <w:rFonts w:ascii="Times New Roman" w:hAnsi="Times New Roman"/>
                <w:sz w:val="20"/>
              </w:rPr>
              <w:t>ИНН</w:t>
            </w:r>
          </w:p>
        </w:tc>
        <w:tc>
          <w:tcPr>
            <w:tcW w:type="dxa" w:w="5128"/>
            <w:vAlign w:val="center"/>
          </w:tcPr>
          <w:p>
            <w:r>
              <w:rPr>
                <w:rFonts w:ascii="Times New Roman" w:hAnsi="Times New Roman"/>
                <w:sz w:val="20"/>
              </w:rPr>
              <w:t>772872317733</w:t>
            </w:r>
          </w:p>
        </w:tc>
      </w:tr>
      <w:tr>
        <w:tc>
          <w:tcPr>
            <w:tcW w:type="dxa" w:w="5128"/>
            <w:vAlign w:val="center"/>
          </w:tcPr>
          <w:p>
            <w:r>
              <w:rPr>
                <w:rFonts w:ascii="Times New Roman" w:hAnsi="Times New Roman"/>
                <w:sz w:val="20"/>
              </w:rPr>
              <w:t>ОГРНИП</w:t>
            </w:r>
          </w:p>
        </w:tc>
        <w:tc>
          <w:tcPr>
            <w:tcW w:type="dxa" w:w="5128"/>
            <w:vAlign w:val="center"/>
          </w:tcPr>
          <w:p>
            <w:r>
              <w:rPr>
                <w:rFonts w:ascii="Times New Roman" w:hAnsi="Times New Roman"/>
                <w:sz w:val="20"/>
              </w:rPr>
              <w:t>322774600176722</w:t>
            </w:r>
          </w:p>
        </w:tc>
      </w:tr>
      <w:tr>
        <w:tc>
          <w:tcPr>
            <w:tcW w:type="dxa" w:w="5128"/>
            <w:vAlign w:val="center"/>
          </w:tcPr>
          <w:p>
            <w:r>
              <w:rPr>
                <w:rFonts w:ascii="Times New Roman" w:hAnsi="Times New Roman"/>
                <w:sz w:val="20"/>
              </w:rPr>
              <w:t>ОКВЭД</w:t>
            </w:r>
          </w:p>
        </w:tc>
        <w:tc>
          <w:tcPr>
            <w:tcW w:type="dxa" w:w="5128"/>
            <w:vAlign w:val="center"/>
          </w:tcPr>
          <w:p>
            <w:r>
              <w:rPr>
                <w:rFonts w:ascii="Times New Roman" w:hAnsi="Times New Roman"/>
                <w:sz w:val="20"/>
              </w:rPr>
              <w:t>71.20.2</w:t>
            </w:r>
          </w:p>
        </w:tc>
      </w:tr>
      <w:tr>
        <w:tc>
          <w:tcPr>
            <w:tcW w:type="dxa" w:w="5128"/>
            <w:vAlign w:val="center"/>
          </w:tcPr>
          <w:p>
            <w:r>
              <w:rPr>
                <w:rFonts w:ascii="Times New Roman" w:hAnsi="Times New Roman"/>
                <w:sz w:val="20"/>
              </w:rPr>
              <w:t>Дата и орган регистрации</w:t>
            </w:r>
          </w:p>
        </w:tc>
        <w:tc>
          <w:tcPr>
            <w:tcW w:type="dxa" w:w="5128"/>
            <w:vAlign w:val="center"/>
          </w:tcPr>
          <w:p>
            <w:r>
              <w:rPr>
                <w:rFonts w:ascii="Times New Roman" w:hAnsi="Times New Roman"/>
                <w:sz w:val="20"/>
              </w:rPr>
              <w:t>16 марта 2022 г.; Межрайонная инспекция Федеральной налоговой службы № 46 по г. Москве</w:t>
            </w:r>
          </w:p>
        </w:tc>
      </w:tr>
      <w:tr>
        <w:tc>
          <w:tcPr>
            <w:tcW w:type="dxa" w:w="5128"/>
            <w:vAlign w:val="center"/>
          </w:tcPr>
          <w:p>
            <w:r>
              <w:rPr>
                <w:rFonts w:ascii="Times New Roman" w:hAnsi="Times New Roman"/>
                <w:sz w:val="20"/>
              </w:rPr>
              <w:t>Почтовый адрес</w:t>
            </w:r>
          </w:p>
        </w:tc>
        <w:tc>
          <w:tcPr>
            <w:tcW w:type="dxa" w:w="5128"/>
            <w:vAlign w:val="center"/>
          </w:tcPr>
          <w:p>
            <w:r>
              <w:rPr>
                <w:rFonts w:ascii="Times New Roman" w:hAnsi="Times New Roman"/>
                <w:sz w:val="20"/>
              </w:rPr>
              <w:t>117647, г. Москва, а/я 15</w:t>
            </w:r>
          </w:p>
        </w:tc>
      </w:tr>
      <w:tr>
        <w:tc>
          <w:tcPr>
            <w:tcW w:type="dxa" w:w="5128"/>
            <w:vAlign w:val="center"/>
          </w:tcPr>
          <w:p>
            <w:r>
              <w:rPr>
                <w:rFonts w:ascii="Times New Roman" w:hAnsi="Times New Roman"/>
                <w:sz w:val="20"/>
              </w:rPr>
              <w:t>Телефон</w:t>
            </w:r>
          </w:p>
        </w:tc>
        <w:tc>
          <w:tcPr>
            <w:tcW w:type="dxa" w:w="5128"/>
            <w:vAlign w:val="center"/>
          </w:tcPr>
          <w:p>
            <w:r>
              <w:rPr>
                <w:rFonts w:ascii="Times New Roman" w:hAnsi="Times New Roman"/>
                <w:sz w:val="20"/>
              </w:rPr>
              <w:t>+7 903 971-25-80</w:t>
            </w:r>
          </w:p>
        </w:tc>
      </w:tr>
      <w:tr>
        <w:tc>
          <w:tcPr>
            <w:tcW w:type="dxa" w:w="5128"/>
            <w:vAlign w:val="center"/>
          </w:tcPr>
          <w:p>
            <w:r>
              <w:rPr>
                <w:rFonts w:ascii="Times New Roman" w:hAnsi="Times New Roman"/>
                <w:sz w:val="20"/>
              </w:rPr>
              <w:t>Электронная почта</w:t>
            </w:r>
          </w:p>
        </w:tc>
        <w:tc>
          <w:tcPr>
            <w:tcW w:type="dxa" w:w="5128"/>
            <w:vAlign w:val="center"/>
          </w:tcPr>
          <w:p>
            <w:r>
              <w:rPr>
                <w:rFonts w:ascii="Times New Roman" w:hAnsi="Times New Roman"/>
                <w:sz w:val="20"/>
              </w:rPr>
              <w:t>zapros@tech-expert.moscow</w:t>
            </w:r>
          </w:p>
        </w:tc>
      </w:tr>
      <w:tr>
        <w:tc>
          <w:tcPr>
            <w:tcW w:type="dxa" w:w="5128"/>
            <w:vAlign w:val="center"/>
          </w:tcPr>
          <w:p>
            <w:r>
              <w:rPr>
                <w:rFonts w:ascii="Times New Roman" w:hAnsi="Times New Roman"/>
                <w:sz w:val="20"/>
              </w:rPr>
              <w:t>Банк</w:t>
            </w:r>
          </w:p>
        </w:tc>
        <w:tc>
          <w:tcPr>
            <w:tcW w:type="dxa" w:w="5128"/>
            <w:vAlign w:val="center"/>
          </w:tcPr>
          <w:p>
            <w:r>
              <w:rPr>
                <w:rFonts w:ascii="Times New Roman" w:hAnsi="Times New Roman"/>
                <w:sz w:val="20"/>
              </w:rPr>
              <w:t>МОСКОВСКИЙ ФИЛИАЛ АО КБ "МОДУЛЬБАНК"</w:t>
            </w:r>
          </w:p>
        </w:tc>
      </w:tr>
      <w:tr>
        <w:tc>
          <w:tcPr>
            <w:tcW w:type="dxa" w:w="5128"/>
            <w:vAlign w:val="center"/>
          </w:tcPr>
          <w:p>
            <w:r>
              <w:rPr>
                <w:rFonts w:ascii="Times New Roman" w:hAnsi="Times New Roman"/>
                <w:sz w:val="20"/>
              </w:rPr>
              <w:t>БИК</w:t>
            </w:r>
          </w:p>
        </w:tc>
        <w:tc>
          <w:tcPr>
            <w:tcW w:type="dxa" w:w="5128"/>
            <w:vAlign w:val="center"/>
          </w:tcPr>
          <w:p>
            <w:r>
              <w:rPr>
                <w:rFonts w:ascii="Times New Roman" w:hAnsi="Times New Roman"/>
                <w:sz w:val="20"/>
              </w:rPr>
              <w:t>044525092</w:t>
            </w:r>
          </w:p>
        </w:tc>
      </w:tr>
      <w:tr>
        <w:tc>
          <w:tcPr>
            <w:tcW w:type="dxa" w:w="5128"/>
            <w:vAlign w:val="center"/>
          </w:tcPr>
          <w:p>
            <w:r>
              <w:rPr>
                <w:rFonts w:ascii="Times New Roman" w:hAnsi="Times New Roman"/>
                <w:sz w:val="20"/>
              </w:rPr>
              <w:t>Корреспондентский счет</w:t>
            </w:r>
          </w:p>
        </w:tc>
        <w:tc>
          <w:tcPr>
            <w:tcW w:type="dxa" w:w="5128"/>
            <w:vAlign w:val="center"/>
          </w:tcPr>
          <w:p>
            <w:r>
              <w:rPr>
                <w:rFonts w:ascii="Times New Roman" w:hAnsi="Times New Roman"/>
                <w:sz w:val="20"/>
              </w:rPr>
              <w:t>30101810645250000092</w:t>
            </w:r>
          </w:p>
        </w:tc>
      </w:tr>
      <w:tr>
        <w:tc>
          <w:tcPr>
            <w:tcW w:type="dxa" w:w="5128"/>
            <w:vAlign w:val="center"/>
          </w:tcPr>
          <w:p>
            <w:r>
              <w:rPr>
                <w:rFonts w:ascii="Times New Roman" w:hAnsi="Times New Roman"/>
                <w:sz w:val="20"/>
              </w:rPr>
              <w:t>Расчетный счет</w:t>
            </w:r>
          </w:p>
        </w:tc>
        <w:tc>
          <w:tcPr>
            <w:tcW w:type="dxa" w:w="5128"/>
            <w:vAlign w:val="center"/>
          </w:tcPr>
          <w:p>
            <w:r>
              <w:rPr>
                <w:rFonts w:ascii="Times New Roman" w:hAnsi="Times New Roman"/>
                <w:sz w:val="20"/>
              </w:rPr>
              <w:t>40802810770010355130</w:t>
            </w:r>
          </w:p>
        </w:tc>
      </w:tr>
    </w:tbl>
    <w:p/>
    <w:sectPr w:rsidR="00FC693F" w:rsidRPr="0006063C" w:rsidSect="00034616">
      <w:footerReference w:type="default" r:id="rId9"/>
      <w:headerReference w:type="default" r:id="rId10"/>
      <w:pgSz w:w="12240" w:h="15840"/>
      <w:pgMar w:top="964" w:right="850" w:bottom="96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16"/>
      </w:rPr>
      <w:t>Tech-Expert.Moscow · Публичная оферта · редакция № 4 от 11.09.2026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eastAsia="Times New Roman"/>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